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C7" w:rsidRDefault="00A64EC7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A64EC7" w:rsidRDefault="00A64EC7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031968">
        <w:rPr>
          <w:rFonts w:asciiTheme="minorHAnsi" w:hAnsiTheme="minorHAnsi" w:cs="Arial"/>
          <w:b/>
          <w:sz w:val="22"/>
          <w:szCs w:val="22"/>
        </w:rPr>
        <w:t>47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36C7D">
        <w:rPr>
          <w:rFonts w:asciiTheme="minorHAnsi" w:hAnsiTheme="minorHAnsi" w:cs="Arial"/>
          <w:sz w:val="22"/>
          <w:szCs w:val="22"/>
        </w:rPr>
        <w:t>3</w:t>
      </w:r>
      <w:r w:rsidR="00031968">
        <w:rPr>
          <w:rFonts w:asciiTheme="minorHAnsi" w:hAnsiTheme="minorHAnsi" w:cs="Arial"/>
          <w:sz w:val="22"/>
          <w:szCs w:val="22"/>
        </w:rPr>
        <w:t>1</w:t>
      </w:r>
      <w:r w:rsidR="00007851">
        <w:rPr>
          <w:rFonts w:asciiTheme="minorHAnsi" w:hAnsiTheme="minorHAnsi" w:cs="Arial"/>
          <w:sz w:val="22"/>
          <w:szCs w:val="22"/>
        </w:rPr>
        <w:t>/01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Sr.</w:t>
      </w:r>
      <w:r w:rsidR="00310071">
        <w:rPr>
          <w:rFonts w:asciiTheme="minorHAnsi" w:hAnsiTheme="minorHAnsi" w:cs="Arial"/>
          <w:sz w:val="22"/>
          <w:szCs w:val="22"/>
        </w:rPr>
        <w:t xml:space="preserve"> </w:t>
      </w:r>
      <w:r w:rsidR="00031968">
        <w:rPr>
          <w:rFonts w:asciiTheme="minorHAnsi" w:hAnsiTheme="minorHAnsi" w:cs="Arial"/>
          <w:sz w:val="22"/>
          <w:szCs w:val="22"/>
        </w:rPr>
        <w:t>Felipe Santibáñez Osorio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D36C7D">
        <w:rPr>
          <w:rFonts w:asciiTheme="minorHAnsi" w:hAnsiTheme="minorHAnsi" w:cs="Arial"/>
          <w:b/>
          <w:sz w:val="22"/>
          <w:szCs w:val="22"/>
        </w:rPr>
        <w:t>04 de febrero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1, letra C y numeral</w:t>
      </w:r>
      <w:r>
        <w:rPr>
          <w:rFonts w:asciiTheme="minorHAnsi" w:hAnsiTheme="minorHAnsi" w:cs="Arial"/>
          <w:sz w:val="22"/>
          <w:szCs w:val="22"/>
        </w:rPr>
        <w:t xml:space="preserve"> 2.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031968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D36C7D">
        <w:rPr>
          <w:rFonts w:asciiTheme="minorHAnsi" w:hAnsiTheme="minorHAnsi" w:cs="Arial"/>
          <w:sz w:val="22"/>
          <w:szCs w:val="22"/>
        </w:rPr>
        <w:t>3</w:t>
      </w:r>
      <w:r w:rsidR="00031968">
        <w:rPr>
          <w:rFonts w:asciiTheme="minorHAnsi" w:hAnsiTheme="minorHAnsi" w:cs="Arial"/>
          <w:sz w:val="22"/>
          <w:szCs w:val="22"/>
        </w:rPr>
        <w:t>1</w:t>
      </w:r>
      <w:r w:rsidR="00007851">
        <w:rPr>
          <w:rFonts w:asciiTheme="minorHAnsi" w:hAnsiTheme="minorHAnsi" w:cs="Arial"/>
          <w:sz w:val="22"/>
          <w:szCs w:val="22"/>
        </w:rPr>
        <w:t>/01/2019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D36C7D">
        <w:rPr>
          <w:rFonts w:asciiTheme="minorHAnsi" w:hAnsiTheme="minorHAnsi" w:cs="Arial"/>
          <w:b/>
          <w:sz w:val="22"/>
          <w:szCs w:val="22"/>
        </w:rPr>
        <w:t>4</w:t>
      </w:r>
      <w:r w:rsidR="00031968">
        <w:rPr>
          <w:rFonts w:asciiTheme="minorHAnsi" w:hAnsiTheme="minorHAnsi" w:cs="Arial"/>
          <w:b/>
          <w:sz w:val="22"/>
          <w:szCs w:val="22"/>
        </w:rPr>
        <w:t>7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031968" w:rsidRPr="00031968" w:rsidRDefault="00031968" w:rsidP="00031968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03196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Se solicita a través de éste medio las organizaciones funcionales y territoriales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3196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la comuna, junto a los nombres de los representantes y datos de contacto de su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3196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directiva.</w:t>
      </w:r>
    </w:p>
    <w:p w:rsidR="00D36C7D" w:rsidRPr="00031968" w:rsidRDefault="00031968" w:rsidP="00031968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03196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La solicitud tiene como propósito realizar entrevistas para una tesis universitaria,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03196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consistente en caracterizar a las organizaciones de la sociedad civil de la región.</w:t>
      </w:r>
    </w:p>
    <w:p w:rsidR="00031968" w:rsidRPr="00007851" w:rsidRDefault="00031968" w:rsidP="0003196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DC3EC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 xml:space="preserve">, referidos a un elevado </w:t>
      </w:r>
      <w:r w:rsidRPr="008C79D6">
        <w:rPr>
          <w:rFonts w:asciiTheme="minorHAnsi" w:hAnsiTheme="minorHAnsi" w:cs="Arial"/>
          <w:sz w:val="22"/>
          <w:szCs w:val="22"/>
        </w:rPr>
        <w:lastRenderedPageBreak/>
        <w:t>número de actos administrativos o sus antecedentes o cuya atención requiera distraer indebidamente a los funcionarios del cumplimiento regular de sus labores habituales”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Que el artículo 4º de la Ley 19.628 sobre “el tratamiento de los datos personales sólo puede afectarse cuando esta ley u otras disposiciones legales lo autoricen o el titular consienta expresamente en ello”</w:t>
      </w: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e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315DB" w:rsidRPr="00C73EDE" w:rsidRDefault="008E79E8" w:rsidP="003315DB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310071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establecida en la solicitud enunciada, </w:t>
      </w:r>
      <w:r w:rsidR="00C73EDE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esta</w:t>
      </w:r>
      <w:r w:rsidR="003315DB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encuentran permanentemente a disposición del público y para acceder a ellas debe ingresar a </w:t>
      </w:r>
      <w:hyperlink r:id="rId7" w:history="1">
        <w:r w:rsidR="003315DB" w:rsidRPr="00C73EDE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www.municasablanca.cl</w:t>
        </w:r>
      </w:hyperlink>
      <w:r w:rsidR="003315DB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“Transparencia Activa”, “</w:t>
      </w:r>
      <w:r w:rsidR="0024754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Otros Antecedentes</w:t>
      </w:r>
      <w:r w:rsidR="00F5273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”, “</w:t>
      </w:r>
      <w:r w:rsidR="0024754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Organizaciones Funcionales y Territoriales</w:t>
      </w:r>
      <w:r w:rsidR="00F5273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”, “</w:t>
      </w:r>
      <w:r w:rsidR="0024754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OO.CC.</w:t>
      </w:r>
      <w:r w:rsidR="00F5273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(formato PDF)”, </w:t>
      </w:r>
      <w:r w:rsidR="0024754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</w:t>
      </w:r>
      <w:r w:rsidR="00F5273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“</w:t>
      </w:r>
      <w:r w:rsidR="0024754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OO.CC</w:t>
      </w:r>
      <w:r w:rsidR="00F5273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(formato Excel)”.</w:t>
      </w:r>
    </w:p>
    <w:p w:rsidR="00F52733" w:rsidRDefault="00F52733" w:rsidP="003315DB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30B13" w:rsidRPr="00DC3EC5" w:rsidRDefault="00F52733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la solicitud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sobre </w:t>
      </w:r>
      <w:r w:rsidR="00A64EC7" w:rsidRPr="00DC3EC5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datos de contacto de su directiva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tratándose de datos personales, de los cuales no se cuenta con autorización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expresa del titular para su comunicación al público;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se encuentran contenidos en las actas de constitución de las respectivas organizaciones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; que esta información no se encuentra disponible de manera tabulada o en formato de fácil acceso; y entendiendo que son un elevado número de actos administrativos, por lo que generarla ocasiona la distracción indebida del funcionario a cargo de la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Oficina de Organizaciones C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omunitarias para solicitar la autorización expresa a los integrantes de estas organizaciones,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aplica 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la entrega de esta información los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Art. 21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numeral 1, letra C y numeral 2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Art. Nº 4 de la Ley 19.628.</w:t>
      </w:r>
    </w:p>
    <w:p w:rsidR="00FE1F12" w:rsidRPr="00030B13" w:rsidRDefault="00310071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A64EC7">
        <w:rPr>
          <w:rFonts w:asciiTheme="minorHAnsi" w:hAnsiTheme="minorHAnsi" w:cs="Arial"/>
          <w:sz w:val="22"/>
          <w:szCs w:val="22"/>
        </w:rPr>
        <w:t>don Felipe Santibáñez Osorio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A64EC7">
        <w:rPr>
          <w:rFonts w:asciiTheme="minorHAnsi" w:hAnsiTheme="minorHAnsi" w:cs="Arial"/>
          <w:sz w:val="22"/>
          <w:szCs w:val="22"/>
        </w:rPr>
        <w:t>don Felipe Santibáñez Osorio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64EC7" w:rsidRDefault="00A64EC7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F5273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>sa (S)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64EC7">
        <w:rPr>
          <w:rFonts w:asciiTheme="minorHAnsi" w:hAnsiTheme="minorHAnsi" w:cs="Arial"/>
          <w:sz w:val="22"/>
          <w:szCs w:val="22"/>
          <w:lang w:val="es-CL"/>
        </w:rPr>
        <w:t xml:space="preserve">Sr. </w:t>
      </w:r>
      <w:r w:rsidR="00A64EC7">
        <w:rPr>
          <w:rFonts w:asciiTheme="minorHAnsi" w:hAnsiTheme="minorHAnsi" w:cs="Arial"/>
          <w:sz w:val="22"/>
          <w:szCs w:val="22"/>
        </w:rPr>
        <w:t>Felipe Santibáñez Osorio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FF54B7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Oficina de Partes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FF54B7" w:rsidRPr="00BC524E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F52733" w:rsidP="00FF54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MSV</w:t>
      </w:r>
      <w:r w:rsidR="00FF54B7">
        <w:rPr>
          <w:rFonts w:asciiTheme="minorHAnsi" w:hAnsiTheme="minorHAnsi"/>
          <w:sz w:val="22"/>
          <w:szCs w:val="22"/>
        </w:rPr>
        <w:t>/LPA/lpa</w:t>
      </w:r>
    </w:p>
    <w:sectPr w:rsidR="00153A24" w:rsidRPr="00BC524E" w:rsidSect="001C7FE0">
      <w:headerReference w:type="default" r:id="rId8"/>
      <w:footerReference w:type="default" r:id="rId9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878" w:rsidRDefault="00754878" w:rsidP="00566808">
      <w:r>
        <w:separator/>
      </w:r>
    </w:p>
  </w:endnote>
  <w:endnote w:type="continuationSeparator" w:id="1">
    <w:p w:rsidR="00754878" w:rsidRDefault="00754878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0C4E34" w:rsidP="00566808">
    <w:pPr>
      <w:pStyle w:val="Piedepgina"/>
      <w:ind w:left="-142"/>
      <w:jc w:val="right"/>
      <w:rPr>
        <w:sz w:val="18"/>
        <w:szCs w:val="18"/>
      </w:rPr>
    </w:pPr>
    <w:r w:rsidRPr="000C4E34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878" w:rsidRDefault="00754878" w:rsidP="00566808">
      <w:r>
        <w:separator/>
      </w:r>
    </w:p>
  </w:footnote>
  <w:footnote w:type="continuationSeparator" w:id="1">
    <w:p w:rsidR="00754878" w:rsidRDefault="00754878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851"/>
    <w:rsid w:val="00013C43"/>
    <w:rsid w:val="00030B13"/>
    <w:rsid w:val="00031968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6A9C"/>
    <w:rsid w:val="00203195"/>
    <w:rsid w:val="00244183"/>
    <w:rsid w:val="00245DED"/>
    <w:rsid w:val="00247544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54878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64EC7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567A4"/>
    <w:rsid w:val="00D9414D"/>
    <w:rsid w:val="00DC3EC5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37CC"/>
    <w:rsid w:val="00F3734C"/>
    <w:rsid w:val="00F477D8"/>
    <w:rsid w:val="00F52733"/>
    <w:rsid w:val="00F76437"/>
    <w:rsid w:val="00F816F9"/>
    <w:rsid w:val="00FB154C"/>
    <w:rsid w:val="00FB64D9"/>
    <w:rsid w:val="00FC5389"/>
    <w:rsid w:val="00FE1F1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2019-02-04T13:42:00Z</cp:lastPrinted>
  <dcterms:created xsi:type="dcterms:W3CDTF">2019-02-04T13:08:00Z</dcterms:created>
  <dcterms:modified xsi:type="dcterms:W3CDTF">2019-02-04T13:43:00Z</dcterms:modified>
</cp:coreProperties>
</file>